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7" w:type="dxa"/>
        <w:tblLook w:val="04A0" w:firstRow="1" w:lastRow="0" w:firstColumn="1" w:lastColumn="0" w:noHBand="0" w:noVBand="1"/>
      </w:tblPr>
      <w:tblGrid>
        <w:gridCol w:w="2972"/>
        <w:gridCol w:w="6095"/>
      </w:tblGrid>
      <w:tr w:rsidR="00D13ABD" w:rsidRPr="00603A64" w14:paraId="3F0DABDA" w14:textId="77777777" w:rsidTr="10BA37BD">
        <w:tc>
          <w:tcPr>
            <w:tcW w:w="2972" w:type="dxa"/>
            <w:vAlign w:val="center"/>
          </w:tcPr>
          <w:p w14:paraId="787BA383" w14:textId="77777777" w:rsidR="00D13ABD" w:rsidRDefault="00D13ABD" w:rsidP="006675E5">
            <w:pPr>
              <w:jc w:val="center"/>
              <w:rPr>
                <w:rFonts w:ascii="Calibri" w:eastAsia="Comic Sans MS" w:hAnsi="Calibri" w:cs="Calibri"/>
                <w:b/>
                <w:bCs/>
                <w:color w:val="002060"/>
                <w:szCs w:val="24"/>
              </w:rPr>
            </w:pPr>
            <w:r w:rsidRPr="00603A64">
              <w:rPr>
                <w:rFonts w:ascii="Calibri" w:eastAsia="Comic Sans MS" w:hAnsi="Calibri" w:cs="Calibri"/>
                <w:b/>
                <w:bCs/>
                <w:color w:val="002060"/>
                <w:szCs w:val="24"/>
              </w:rPr>
              <w:t xml:space="preserve">Leadership Policy Paper </w:t>
            </w:r>
          </w:p>
          <w:p w14:paraId="3A3CD20D" w14:textId="77777777" w:rsidR="00D13ABD" w:rsidRPr="00603A64" w:rsidRDefault="00D13ABD" w:rsidP="006675E5">
            <w:pPr>
              <w:jc w:val="center"/>
              <w:rPr>
                <w:rFonts w:ascii="Calibri" w:eastAsia="Comic Sans MS" w:hAnsi="Calibri" w:cs="Calibri"/>
                <w:b/>
                <w:bCs/>
                <w:color w:val="002060"/>
                <w:szCs w:val="24"/>
              </w:rPr>
            </w:pPr>
          </w:p>
          <w:p w14:paraId="4A53180F" w14:textId="024180C8" w:rsidR="00D13ABD" w:rsidRPr="00603A64" w:rsidRDefault="00465053" w:rsidP="10BA37BD">
            <w:pPr>
              <w:spacing w:line="259" w:lineRule="auto"/>
              <w:jc w:val="center"/>
            </w:pPr>
            <w:r>
              <w:rPr>
                <w:rFonts w:ascii="Calibri" w:hAnsi="Calibri" w:cs="Calibri"/>
                <w:b/>
                <w:bCs/>
                <w:color w:val="002060"/>
              </w:rPr>
              <w:t>BGE Planning</w:t>
            </w:r>
          </w:p>
          <w:p w14:paraId="70CEE165" w14:textId="77777777" w:rsidR="00D13ABD" w:rsidRPr="00603A64" w:rsidRDefault="00D13ABD" w:rsidP="10BA37BD">
            <w:pPr>
              <w:spacing w:line="259" w:lineRule="auto"/>
              <w:jc w:val="center"/>
              <w:rPr>
                <w:rFonts w:ascii="Calibri" w:hAnsi="Calibri" w:cs="Calibri"/>
                <w:b/>
                <w:bCs/>
                <w:color w:val="002060"/>
              </w:rPr>
            </w:pPr>
          </w:p>
          <w:p w14:paraId="4BA9D9C0" w14:textId="77777777" w:rsidR="00D13ABD" w:rsidRPr="00603A64" w:rsidRDefault="64477553" w:rsidP="10BA37BD">
            <w:pPr>
              <w:spacing w:line="259" w:lineRule="auto"/>
              <w:jc w:val="center"/>
            </w:pPr>
            <w:r w:rsidRPr="10BA37BD">
              <w:rPr>
                <w:rFonts w:ascii="Calibri" w:hAnsi="Calibri" w:cs="Calibri"/>
                <w:b/>
                <w:bCs/>
                <w:color w:val="002060"/>
              </w:rPr>
              <w:t>June 2026</w:t>
            </w:r>
          </w:p>
          <w:p w14:paraId="4E13708B" w14:textId="77777777" w:rsidR="00D13ABD" w:rsidRPr="00603A64" w:rsidRDefault="00D13ABD" w:rsidP="10BA37BD">
            <w:pPr>
              <w:jc w:val="center"/>
              <w:rPr>
                <w:rFonts w:ascii="Calibri" w:hAnsi="Calibri" w:cs="Calibri"/>
                <w:b/>
                <w:bCs/>
                <w:color w:val="002060"/>
              </w:rPr>
            </w:pPr>
          </w:p>
        </w:tc>
        <w:tc>
          <w:tcPr>
            <w:tcW w:w="6095" w:type="dxa"/>
            <w:vAlign w:val="bottom"/>
          </w:tcPr>
          <w:p w14:paraId="5AD15D82" w14:textId="77777777" w:rsidR="00D13ABD" w:rsidRPr="00603A64" w:rsidRDefault="00D13ABD" w:rsidP="006675E5">
            <w:pPr>
              <w:jc w:val="center"/>
              <w:rPr>
                <w:rFonts w:ascii="Calibri" w:eastAsia="Times New Roman" w:hAnsi="Calibri" w:cs="Calibri"/>
                <w:noProof/>
                <w:szCs w:val="24"/>
              </w:rPr>
            </w:pPr>
          </w:p>
          <w:p w14:paraId="2CFD3C57" w14:textId="77777777" w:rsidR="00D13ABD" w:rsidRPr="00603A64" w:rsidRDefault="003F7676" w:rsidP="006675E5">
            <w:pPr>
              <w:jc w:val="center"/>
              <w:rPr>
                <w:rFonts w:ascii="Calibri" w:eastAsia="Comic Sans MS" w:hAnsi="Calibri" w:cs="Calibri"/>
                <w:b/>
                <w:bCs/>
                <w:color w:val="002060"/>
                <w:szCs w:val="24"/>
              </w:rPr>
            </w:pPr>
            <w:r>
              <w:rPr>
                <w:rFonts w:ascii="Calibri" w:eastAsia="Comic Sans MS" w:hAnsi="Calibri" w:cs="Calibri"/>
                <w:b/>
                <w:bCs/>
                <w:noProof/>
                <w:color w:val="002060"/>
                <w:szCs w:val="24"/>
              </w:rPr>
              <w:drawing>
                <wp:inline distT="0" distB="0" distL="0" distR="0" wp14:anchorId="65D0242D" wp14:editId="3177E43D">
                  <wp:extent cx="1068185" cy="1363287"/>
                  <wp:effectExtent l="0" t="0" r="0" b="8890"/>
                  <wp:docPr id="141305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5663" name="Picture 141305663"/>
                          <pic:cNvPicPr/>
                        </pic:nvPicPr>
                        <pic:blipFill>
                          <a:blip r:embed="rId8">
                            <a:extLst>
                              <a:ext uri="{28A0092B-C50C-407E-A947-70E740481C1C}">
                                <a14:useLocalDpi xmlns:a14="http://schemas.microsoft.com/office/drawing/2010/main" val="0"/>
                              </a:ext>
                            </a:extLst>
                          </a:blip>
                          <a:stretch>
                            <a:fillRect/>
                          </a:stretch>
                        </pic:blipFill>
                        <pic:spPr>
                          <a:xfrm>
                            <a:off x="0" y="0"/>
                            <a:ext cx="1068185" cy="1363287"/>
                          </a:xfrm>
                          <a:prstGeom prst="rect">
                            <a:avLst/>
                          </a:prstGeom>
                        </pic:spPr>
                      </pic:pic>
                    </a:graphicData>
                  </a:graphic>
                </wp:inline>
              </w:drawing>
            </w:r>
          </w:p>
          <w:p w14:paraId="0A008F9B" w14:textId="77777777" w:rsidR="00D13ABD" w:rsidRPr="00603A64" w:rsidRDefault="00D13ABD" w:rsidP="006675E5">
            <w:pPr>
              <w:jc w:val="center"/>
              <w:rPr>
                <w:rFonts w:ascii="Calibri" w:eastAsia="Comic Sans MS" w:hAnsi="Calibri" w:cs="Calibri"/>
                <w:b/>
                <w:bCs/>
                <w:color w:val="002060"/>
                <w:szCs w:val="24"/>
              </w:rPr>
            </w:pPr>
          </w:p>
          <w:p w14:paraId="5291D10C" w14:textId="77777777" w:rsidR="00D13ABD" w:rsidRPr="00603A64" w:rsidRDefault="00D13ABD" w:rsidP="00EF1027">
            <w:pPr>
              <w:jc w:val="center"/>
              <w:rPr>
                <w:rFonts w:ascii="Calibri" w:eastAsia="Comic Sans MS" w:hAnsi="Calibri" w:cs="Calibri"/>
                <w:b/>
                <w:bCs/>
                <w:color w:val="002060"/>
                <w:szCs w:val="24"/>
              </w:rPr>
            </w:pPr>
          </w:p>
        </w:tc>
      </w:tr>
    </w:tbl>
    <w:p w14:paraId="0A8692A8" w14:textId="77777777" w:rsidR="00603A64" w:rsidRDefault="00603A64" w:rsidP="6D9C7F0A">
      <w:pPr>
        <w:rPr>
          <w:rFonts w:ascii="Calibri" w:eastAsia="Comic Sans MS" w:hAnsi="Calibri" w:cs="Calibri"/>
          <w:color w:val="002060"/>
          <w:szCs w:val="24"/>
        </w:rPr>
      </w:pPr>
    </w:p>
    <w:p w14:paraId="67B4DCF1" w14:textId="77777777" w:rsidR="00EF1027" w:rsidRDefault="00EF1027" w:rsidP="6D9C7F0A">
      <w:pPr>
        <w:rPr>
          <w:rFonts w:ascii="Calibri" w:eastAsia="Comic Sans MS" w:hAnsi="Calibri" w:cs="Calibri"/>
          <w:color w:val="002060"/>
          <w:szCs w:val="24"/>
        </w:rPr>
      </w:pPr>
      <w:r>
        <w:rPr>
          <w:rFonts w:ascii="Calibri" w:eastAsia="Comic Sans MS" w:hAnsi="Calibri" w:cs="Calibri"/>
          <w:noProof/>
          <w:color w:val="002060"/>
          <w:szCs w:val="24"/>
        </w:rPr>
        <w:drawing>
          <wp:inline distT="0" distB="0" distL="0" distR="0" wp14:anchorId="4D8E9E84" wp14:editId="467146FA">
            <wp:extent cx="5731510" cy="1232535"/>
            <wp:effectExtent l="0" t="0" r="2540" b="5715"/>
            <wp:docPr id="709695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95029" name="Picture 7096950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232535"/>
                    </a:xfrm>
                    <a:prstGeom prst="rect">
                      <a:avLst/>
                    </a:prstGeom>
                  </pic:spPr>
                </pic:pic>
              </a:graphicData>
            </a:graphic>
          </wp:inline>
        </w:drawing>
      </w:r>
    </w:p>
    <w:p w14:paraId="208D064F" w14:textId="77777777" w:rsidR="00EF1027" w:rsidRPr="00603A64" w:rsidRDefault="00EF1027" w:rsidP="6D9C7F0A">
      <w:pPr>
        <w:rPr>
          <w:rFonts w:ascii="Calibri" w:eastAsia="Comic Sans MS" w:hAnsi="Calibri" w:cs="Calibri"/>
          <w:color w:val="002060"/>
          <w:szCs w:val="24"/>
        </w:rPr>
      </w:pPr>
    </w:p>
    <w:tbl>
      <w:tblPr>
        <w:tblStyle w:val="TableGrid"/>
        <w:tblW w:w="9016" w:type="dxa"/>
        <w:tblLayout w:type="fixed"/>
        <w:tblLook w:val="04A0" w:firstRow="1" w:lastRow="0" w:firstColumn="1" w:lastColumn="0" w:noHBand="0" w:noVBand="1"/>
      </w:tblPr>
      <w:tblGrid>
        <w:gridCol w:w="1755"/>
        <w:gridCol w:w="7261"/>
      </w:tblGrid>
      <w:tr w:rsidR="00AD473E" w:rsidRPr="00465053" w14:paraId="26E9CB0B" w14:textId="77777777" w:rsidTr="10BA37BD">
        <w:tc>
          <w:tcPr>
            <w:tcW w:w="1755" w:type="dxa"/>
          </w:tcPr>
          <w:p w14:paraId="5D37C8BC" w14:textId="77777777" w:rsidR="00AD473E" w:rsidRPr="00465053" w:rsidRDefault="38E61E0E" w:rsidP="6D9C7F0A">
            <w:pPr>
              <w:rPr>
                <w:rFonts w:ascii="Calibri" w:eastAsia="Comic Sans MS" w:hAnsi="Calibri" w:cs="Calibri"/>
                <w:b/>
                <w:bCs/>
                <w:color w:val="1F4E79" w:themeColor="accent1" w:themeShade="80"/>
                <w:szCs w:val="24"/>
              </w:rPr>
            </w:pPr>
            <w:r w:rsidRPr="00465053">
              <w:rPr>
                <w:rFonts w:ascii="Calibri" w:eastAsia="Comic Sans MS" w:hAnsi="Calibri" w:cs="Calibri"/>
                <w:b/>
                <w:bCs/>
                <w:color w:val="1F4E79" w:themeColor="accent1" w:themeShade="80"/>
                <w:szCs w:val="24"/>
              </w:rPr>
              <w:t xml:space="preserve">Title </w:t>
            </w:r>
          </w:p>
        </w:tc>
        <w:tc>
          <w:tcPr>
            <w:tcW w:w="7261" w:type="dxa"/>
          </w:tcPr>
          <w:p w14:paraId="401CAB70" w14:textId="77777777" w:rsidR="00ED729C" w:rsidRPr="00465053" w:rsidRDefault="001A155F">
            <w:pPr>
              <w:rPr>
                <w:rFonts w:ascii="Calibri" w:hAnsi="Calibri" w:cs="Calibri"/>
                <w:color w:val="1F4E79" w:themeColor="accent1" w:themeShade="80"/>
              </w:rPr>
            </w:pPr>
            <w:r w:rsidRPr="00465053">
              <w:rPr>
                <w:rFonts w:ascii="Calibri" w:hAnsi="Calibri" w:cs="Calibri"/>
                <w:color w:val="1F4E79" w:themeColor="accent1" w:themeShade="80"/>
              </w:rPr>
              <w:t>BGE Planning of Learning, Teaching and Assessment – BGE Planning Tool</w:t>
            </w:r>
          </w:p>
        </w:tc>
      </w:tr>
      <w:tr w:rsidR="0067173E" w:rsidRPr="00465053" w14:paraId="311044FD" w14:textId="77777777" w:rsidTr="10BA37BD">
        <w:tc>
          <w:tcPr>
            <w:tcW w:w="1755" w:type="dxa"/>
          </w:tcPr>
          <w:p w14:paraId="721F394A" w14:textId="77777777" w:rsidR="0067173E" w:rsidRPr="00465053" w:rsidRDefault="00EF1027" w:rsidP="6D9C7F0A">
            <w:pPr>
              <w:rPr>
                <w:rFonts w:ascii="Calibri" w:eastAsia="Comic Sans MS" w:hAnsi="Calibri" w:cs="Calibri"/>
                <w:b/>
                <w:bCs/>
                <w:color w:val="1F4E79" w:themeColor="accent1" w:themeShade="80"/>
                <w:szCs w:val="24"/>
              </w:rPr>
            </w:pPr>
            <w:r w:rsidRPr="00465053">
              <w:rPr>
                <w:rFonts w:ascii="Calibri" w:eastAsia="Comic Sans MS" w:hAnsi="Calibri" w:cs="Calibri"/>
                <w:b/>
                <w:bCs/>
                <w:color w:val="1F4E79" w:themeColor="accent1" w:themeShade="80"/>
                <w:szCs w:val="24"/>
              </w:rPr>
              <w:t xml:space="preserve">Link to school vision and values and </w:t>
            </w:r>
            <w:r w:rsidR="0067173E" w:rsidRPr="00465053">
              <w:rPr>
                <w:rFonts w:ascii="Calibri" w:eastAsia="Comic Sans MS" w:hAnsi="Calibri" w:cs="Calibri"/>
                <w:b/>
                <w:bCs/>
                <w:color w:val="1F4E79" w:themeColor="accent1" w:themeShade="80"/>
                <w:szCs w:val="24"/>
              </w:rPr>
              <w:t>UNCRC</w:t>
            </w:r>
            <w:r w:rsidRPr="00465053">
              <w:rPr>
                <w:rFonts w:ascii="Calibri" w:eastAsia="Comic Sans MS" w:hAnsi="Calibri" w:cs="Calibri"/>
                <w:b/>
                <w:bCs/>
                <w:color w:val="1F4E79" w:themeColor="accent1" w:themeShade="80"/>
                <w:szCs w:val="24"/>
              </w:rPr>
              <w:t xml:space="preserve"> </w:t>
            </w:r>
          </w:p>
        </w:tc>
        <w:tc>
          <w:tcPr>
            <w:tcW w:w="7261" w:type="dxa"/>
          </w:tcPr>
          <w:p w14:paraId="32E5B2FC" w14:textId="77777777" w:rsidR="00ED729C" w:rsidRPr="00465053" w:rsidRDefault="001A155F">
            <w:pPr>
              <w:rPr>
                <w:rFonts w:ascii="Calibri" w:hAnsi="Calibri" w:cs="Calibri"/>
                <w:color w:val="1F4E79" w:themeColor="accent1" w:themeShade="80"/>
              </w:rPr>
            </w:pPr>
            <w:r w:rsidRPr="00465053">
              <w:rPr>
                <w:rFonts w:ascii="Calibri" w:hAnsi="Calibri" w:cs="Calibri"/>
                <w:color w:val="1F4E79" w:themeColor="accent1" w:themeShade="80"/>
              </w:rPr>
              <w:t>One Peebles vision and values: contribute to grow</w:t>
            </w:r>
            <w:r w:rsidRPr="00465053">
              <w:rPr>
                <w:rFonts w:ascii="Calibri" w:hAnsi="Calibri" w:cs="Calibri"/>
                <w:color w:val="1F4E79" w:themeColor="accent1" w:themeShade="80"/>
              </w:rPr>
              <w:br/>
              <w:t>UNCRC Articles 12, 28 and 29.</w:t>
            </w:r>
          </w:p>
        </w:tc>
      </w:tr>
      <w:tr w:rsidR="6D9C7F0A" w:rsidRPr="00465053" w14:paraId="1452F20C" w14:textId="77777777" w:rsidTr="10BA37BD">
        <w:trPr>
          <w:trHeight w:val="300"/>
        </w:trPr>
        <w:tc>
          <w:tcPr>
            <w:tcW w:w="1755" w:type="dxa"/>
          </w:tcPr>
          <w:p w14:paraId="583376C6" w14:textId="77777777" w:rsidR="305F9473" w:rsidRPr="00465053" w:rsidRDefault="00CC63A1" w:rsidP="6D9C7F0A">
            <w:pPr>
              <w:rPr>
                <w:rFonts w:ascii="Calibri" w:eastAsia="Comic Sans MS" w:hAnsi="Calibri" w:cs="Calibri"/>
                <w:b/>
                <w:bCs/>
                <w:color w:val="1F4E79" w:themeColor="accent1" w:themeShade="80"/>
                <w:szCs w:val="24"/>
              </w:rPr>
            </w:pPr>
            <w:r w:rsidRPr="00465053">
              <w:rPr>
                <w:rFonts w:ascii="Calibri" w:eastAsia="Comic Sans MS" w:hAnsi="Calibri" w:cs="Calibri"/>
                <w:b/>
                <w:bCs/>
                <w:color w:val="1F4E79" w:themeColor="accent1" w:themeShade="80"/>
                <w:szCs w:val="24"/>
              </w:rPr>
              <w:t xml:space="preserve">Link to </w:t>
            </w:r>
            <w:r w:rsidR="002A59A6" w:rsidRPr="00465053">
              <w:rPr>
                <w:rFonts w:ascii="Calibri" w:eastAsia="Comic Sans MS" w:hAnsi="Calibri" w:cs="Calibri"/>
                <w:b/>
                <w:bCs/>
                <w:color w:val="1F4E79" w:themeColor="accent1" w:themeShade="80"/>
                <w:szCs w:val="24"/>
              </w:rPr>
              <w:t>H</w:t>
            </w:r>
            <w:r w:rsidR="00370F01" w:rsidRPr="00465053">
              <w:rPr>
                <w:rFonts w:ascii="Calibri" w:eastAsia="Comic Sans MS" w:hAnsi="Calibri" w:cs="Calibri"/>
                <w:b/>
                <w:bCs/>
                <w:color w:val="1F4E79" w:themeColor="accent1" w:themeShade="80"/>
                <w:szCs w:val="24"/>
              </w:rPr>
              <w:t xml:space="preserve">ow </w:t>
            </w:r>
            <w:r w:rsidR="002A59A6" w:rsidRPr="00465053">
              <w:rPr>
                <w:rFonts w:ascii="Calibri" w:eastAsia="Comic Sans MS" w:hAnsi="Calibri" w:cs="Calibri"/>
                <w:b/>
                <w:bCs/>
                <w:color w:val="1F4E79" w:themeColor="accent1" w:themeShade="80"/>
                <w:szCs w:val="24"/>
              </w:rPr>
              <w:t>G</w:t>
            </w:r>
            <w:r w:rsidR="00370F01" w:rsidRPr="00465053">
              <w:rPr>
                <w:rFonts w:ascii="Calibri" w:eastAsia="Comic Sans MS" w:hAnsi="Calibri" w:cs="Calibri"/>
                <w:b/>
                <w:bCs/>
                <w:color w:val="1F4E79" w:themeColor="accent1" w:themeShade="80"/>
                <w:szCs w:val="24"/>
              </w:rPr>
              <w:t>ood is our School 4 Quality Indicators</w:t>
            </w:r>
            <w:r w:rsidR="00EF1027" w:rsidRPr="00465053">
              <w:rPr>
                <w:rFonts w:ascii="Calibri" w:eastAsia="Comic Sans MS" w:hAnsi="Calibri" w:cs="Calibri"/>
                <w:b/>
                <w:bCs/>
                <w:color w:val="1F4E79" w:themeColor="accent1" w:themeShade="80"/>
                <w:szCs w:val="24"/>
              </w:rPr>
              <w:t xml:space="preserve"> </w:t>
            </w:r>
          </w:p>
        </w:tc>
        <w:tc>
          <w:tcPr>
            <w:tcW w:w="7261" w:type="dxa"/>
          </w:tcPr>
          <w:p w14:paraId="4960741A" w14:textId="77777777" w:rsidR="00ED729C" w:rsidRPr="00465053" w:rsidRDefault="001A155F">
            <w:pPr>
              <w:rPr>
                <w:rFonts w:ascii="Calibri" w:hAnsi="Calibri" w:cs="Calibri"/>
                <w:color w:val="1F4E79" w:themeColor="accent1" w:themeShade="80"/>
              </w:rPr>
            </w:pPr>
            <w:r w:rsidRPr="00465053">
              <w:rPr>
                <w:rFonts w:ascii="Calibri" w:hAnsi="Calibri" w:cs="Calibri"/>
                <w:color w:val="1F4E79" w:themeColor="accent1" w:themeShade="80"/>
              </w:rPr>
              <w:t>This toolkit supports:</w:t>
            </w:r>
            <w:r w:rsidRPr="00465053">
              <w:rPr>
                <w:rFonts w:ascii="Calibri" w:hAnsi="Calibri" w:cs="Calibri"/>
                <w:color w:val="1F4E79" w:themeColor="accent1" w:themeShade="80"/>
              </w:rPr>
              <w:br/>
            </w:r>
            <w:r w:rsidRPr="00465053">
              <w:rPr>
                <w:rFonts w:ascii="Calibri" w:hAnsi="Calibri" w:cs="Calibri"/>
                <w:color w:val="1F4E79" w:themeColor="accent1" w:themeShade="80"/>
              </w:rPr>
              <w:br/>
              <w:t>QI 2.3 Learning, Teaching and Assessment</w:t>
            </w:r>
            <w:r w:rsidRPr="00465053">
              <w:rPr>
                <w:rFonts w:ascii="Calibri" w:hAnsi="Calibri" w:cs="Calibri"/>
                <w:color w:val="1F4E79" w:themeColor="accent1" w:themeShade="80"/>
              </w:rPr>
              <w:br/>
            </w:r>
            <w:r w:rsidRPr="00465053">
              <w:rPr>
                <w:rFonts w:ascii="Calibri" w:hAnsi="Calibri" w:cs="Calibri"/>
                <w:color w:val="1F4E79" w:themeColor="accent1" w:themeShade="80"/>
              </w:rPr>
              <w:t>• planning learning which meets learners' needs</w:t>
            </w:r>
            <w:r w:rsidRPr="00465053">
              <w:rPr>
                <w:rFonts w:ascii="Calibri" w:hAnsi="Calibri" w:cs="Calibri"/>
                <w:color w:val="1F4E79" w:themeColor="accent1" w:themeShade="80"/>
              </w:rPr>
              <w:br/>
              <w:t>• ensuring appropriate pace and challenge</w:t>
            </w:r>
            <w:r w:rsidRPr="00465053">
              <w:rPr>
                <w:rFonts w:ascii="Calibri" w:hAnsi="Calibri" w:cs="Calibri"/>
                <w:color w:val="1F4E79" w:themeColor="accent1" w:themeShade="80"/>
              </w:rPr>
              <w:br/>
              <w:t>• embedding effective pedagogy, assessment and feedback</w:t>
            </w:r>
            <w:r w:rsidRPr="00465053">
              <w:rPr>
                <w:rFonts w:ascii="Calibri" w:hAnsi="Calibri" w:cs="Calibri"/>
                <w:color w:val="1F4E79" w:themeColor="accent1" w:themeShade="80"/>
              </w:rPr>
              <w:br/>
              <w:t>• supporting adaptive teaching through planned checks for understanding</w:t>
            </w:r>
            <w:r w:rsidRPr="00465053">
              <w:rPr>
                <w:rFonts w:ascii="Calibri" w:hAnsi="Calibri" w:cs="Calibri"/>
                <w:color w:val="1F4E79" w:themeColor="accent1" w:themeShade="80"/>
              </w:rPr>
              <w:br/>
            </w:r>
            <w:r w:rsidRPr="00465053">
              <w:rPr>
                <w:rFonts w:ascii="Calibri" w:hAnsi="Calibri" w:cs="Calibri"/>
                <w:color w:val="1F4E79" w:themeColor="accent1" w:themeShade="80"/>
              </w:rPr>
              <w:br/>
              <w:t>QI 2.2 Curriculum</w:t>
            </w:r>
            <w:r w:rsidRPr="00465053">
              <w:rPr>
                <w:rFonts w:ascii="Calibri" w:hAnsi="Calibri" w:cs="Calibri"/>
                <w:color w:val="1F4E79" w:themeColor="accent1" w:themeShade="80"/>
              </w:rPr>
              <w:br/>
              <w:t>• ensuring coherent curriculum pathways from BGE into the Senior Phase</w:t>
            </w:r>
            <w:r w:rsidRPr="00465053">
              <w:rPr>
                <w:rFonts w:ascii="Calibri" w:hAnsi="Calibri" w:cs="Calibri"/>
                <w:color w:val="1F4E79" w:themeColor="accent1" w:themeShade="80"/>
              </w:rPr>
              <w:br/>
              <w:t>• planning progressive learning using Experiences &amp; Outcomes, Benchmarks and SBC progression frameworks</w:t>
            </w:r>
            <w:r w:rsidRPr="00465053">
              <w:rPr>
                <w:rFonts w:ascii="Calibri" w:hAnsi="Calibri" w:cs="Calibri"/>
                <w:color w:val="1F4E79" w:themeColor="accent1" w:themeShade="80"/>
              </w:rPr>
              <w:br/>
              <w:t>• promoting curriculum coherence and progression</w:t>
            </w:r>
            <w:r w:rsidRPr="00465053">
              <w:rPr>
                <w:rFonts w:ascii="Calibri" w:hAnsi="Calibri" w:cs="Calibri"/>
                <w:color w:val="1F4E79" w:themeColor="accent1" w:themeShade="80"/>
              </w:rPr>
              <w:br/>
            </w:r>
            <w:r w:rsidRPr="00465053">
              <w:rPr>
                <w:rFonts w:ascii="Calibri" w:hAnsi="Calibri" w:cs="Calibri"/>
                <w:color w:val="1F4E79" w:themeColor="accent1" w:themeShade="80"/>
              </w:rPr>
              <w:br/>
              <w:t>QI 3.2 Raising Attainment and Achievement</w:t>
            </w:r>
            <w:r w:rsidRPr="00465053">
              <w:rPr>
                <w:rFonts w:ascii="Calibri" w:hAnsi="Calibri" w:cs="Calibri"/>
                <w:color w:val="1F4E79" w:themeColor="accent1" w:themeShade="80"/>
              </w:rPr>
              <w:br/>
              <w:t>• improv</w:t>
            </w:r>
            <w:r w:rsidRPr="00465053">
              <w:rPr>
                <w:rFonts w:ascii="Calibri" w:hAnsi="Calibri" w:cs="Calibri"/>
                <w:color w:val="1F4E79" w:themeColor="accent1" w:themeShade="80"/>
              </w:rPr>
              <w:t>ing learner progress through planned progression</w:t>
            </w:r>
            <w:r w:rsidRPr="00465053">
              <w:rPr>
                <w:rFonts w:ascii="Calibri" w:hAnsi="Calibri" w:cs="Calibri"/>
                <w:color w:val="1F4E79" w:themeColor="accent1" w:themeShade="80"/>
              </w:rPr>
              <w:br/>
              <w:t>• developing assessment literacy</w:t>
            </w:r>
            <w:r w:rsidRPr="00465053">
              <w:rPr>
                <w:rFonts w:ascii="Calibri" w:hAnsi="Calibri" w:cs="Calibri"/>
                <w:color w:val="1F4E79" w:themeColor="accent1" w:themeShade="80"/>
              </w:rPr>
              <w:br/>
              <w:t>• improving confidence in professional judgement of CfE levels</w:t>
            </w:r>
          </w:p>
        </w:tc>
      </w:tr>
      <w:tr w:rsidR="6D9C7F0A" w:rsidRPr="00465053" w14:paraId="48416BF9" w14:textId="77777777" w:rsidTr="10BA37BD">
        <w:trPr>
          <w:trHeight w:val="300"/>
        </w:trPr>
        <w:tc>
          <w:tcPr>
            <w:tcW w:w="1755" w:type="dxa"/>
          </w:tcPr>
          <w:p w14:paraId="4D1C7FB7" w14:textId="77777777" w:rsidR="305F9473" w:rsidRPr="00465053" w:rsidRDefault="305F9473" w:rsidP="6D9C7F0A">
            <w:pPr>
              <w:rPr>
                <w:rFonts w:ascii="Calibri" w:eastAsia="Comic Sans MS" w:hAnsi="Calibri" w:cs="Calibri"/>
                <w:b/>
                <w:bCs/>
                <w:color w:val="1F4E79" w:themeColor="accent1" w:themeShade="80"/>
                <w:szCs w:val="24"/>
              </w:rPr>
            </w:pPr>
            <w:r w:rsidRPr="00465053">
              <w:rPr>
                <w:rFonts w:ascii="Calibri" w:eastAsia="Comic Sans MS" w:hAnsi="Calibri" w:cs="Calibri"/>
                <w:b/>
                <w:bCs/>
                <w:color w:val="1F4E79" w:themeColor="accent1" w:themeShade="80"/>
                <w:szCs w:val="24"/>
              </w:rPr>
              <w:t>Strategic Lead</w:t>
            </w:r>
          </w:p>
        </w:tc>
        <w:tc>
          <w:tcPr>
            <w:tcW w:w="7261" w:type="dxa"/>
          </w:tcPr>
          <w:p w14:paraId="595C62A6" w14:textId="77777777" w:rsidR="00CA56DF" w:rsidRPr="00465053" w:rsidRDefault="001A155F">
            <w:pPr>
              <w:rPr>
                <w:rFonts w:ascii="Calibri" w:hAnsi="Calibri" w:cs="Calibri"/>
                <w:color w:val="1F4E79" w:themeColor="accent1" w:themeShade="80"/>
              </w:rPr>
            </w:pPr>
            <w:r w:rsidRPr="00465053">
              <w:rPr>
                <w:rFonts w:ascii="Calibri" w:hAnsi="Calibri" w:cs="Calibri"/>
                <w:color w:val="1F4E79" w:themeColor="accent1" w:themeShade="80"/>
              </w:rPr>
              <w:t>Karen Mooney (Depute Headteacher)</w:t>
            </w:r>
          </w:p>
        </w:tc>
      </w:tr>
      <w:tr w:rsidR="43DAA56E" w:rsidRPr="00465053" w14:paraId="787B68CD" w14:textId="77777777" w:rsidTr="10BA37BD">
        <w:trPr>
          <w:trHeight w:val="300"/>
        </w:trPr>
        <w:tc>
          <w:tcPr>
            <w:tcW w:w="1755" w:type="dxa"/>
          </w:tcPr>
          <w:p w14:paraId="10D7F7FE" w14:textId="77777777" w:rsidR="5123B9AC" w:rsidRPr="00465053" w:rsidRDefault="5123B9AC" w:rsidP="6D9C7F0A">
            <w:pPr>
              <w:rPr>
                <w:rFonts w:ascii="Calibri" w:eastAsia="Comic Sans MS" w:hAnsi="Calibri" w:cs="Calibri"/>
                <w:b/>
                <w:bCs/>
                <w:color w:val="1F4E79" w:themeColor="accent1" w:themeShade="80"/>
                <w:szCs w:val="24"/>
              </w:rPr>
            </w:pPr>
            <w:r w:rsidRPr="00465053">
              <w:rPr>
                <w:rFonts w:ascii="Calibri" w:eastAsia="Comic Sans MS" w:hAnsi="Calibri" w:cs="Calibri"/>
                <w:b/>
                <w:bCs/>
                <w:color w:val="1F4E79" w:themeColor="accent1" w:themeShade="80"/>
                <w:szCs w:val="24"/>
              </w:rPr>
              <w:lastRenderedPageBreak/>
              <w:t>Date</w:t>
            </w:r>
          </w:p>
        </w:tc>
        <w:tc>
          <w:tcPr>
            <w:tcW w:w="7261" w:type="dxa"/>
          </w:tcPr>
          <w:p w14:paraId="48517828" w14:textId="77777777" w:rsidR="00CA56DF" w:rsidRPr="00465053" w:rsidRDefault="001A155F">
            <w:pPr>
              <w:rPr>
                <w:rFonts w:ascii="Calibri" w:hAnsi="Calibri" w:cs="Calibri"/>
                <w:color w:val="1F4E79" w:themeColor="accent1" w:themeShade="80"/>
              </w:rPr>
            </w:pPr>
            <w:r w:rsidRPr="00465053">
              <w:rPr>
                <w:rFonts w:ascii="Calibri" w:hAnsi="Calibri" w:cs="Calibri"/>
                <w:color w:val="1F4E79" w:themeColor="accent1" w:themeShade="80"/>
              </w:rPr>
              <w:t>June 2026</w:t>
            </w:r>
          </w:p>
        </w:tc>
      </w:tr>
      <w:tr w:rsidR="00AD473E" w:rsidRPr="00465053" w14:paraId="6594E0D8" w14:textId="77777777" w:rsidTr="10BA37BD">
        <w:tc>
          <w:tcPr>
            <w:tcW w:w="1755" w:type="dxa"/>
          </w:tcPr>
          <w:p w14:paraId="31706B3F" w14:textId="77777777" w:rsidR="00AD473E" w:rsidRPr="00465053" w:rsidRDefault="38E61E0E" w:rsidP="6D9C7F0A">
            <w:pPr>
              <w:rPr>
                <w:rFonts w:ascii="Calibri" w:eastAsia="Comic Sans MS" w:hAnsi="Calibri" w:cs="Calibri"/>
                <w:b/>
                <w:bCs/>
                <w:color w:val="1F4E79" w:themeColor="accent1" w:themeShade="80"/>
                <w:szCs w:val="24"/>
              </w:rPr>
            </w:pPr>
            <w:r w:rsidRPr="00465053">
              <w:rPr>
                <w:rFonts w:ascii="Calibri" w:eastAsia="Comic Sans MS" w:hAnsi="Calibri" w:cs="Calibri"/>
                <w:b/>
                <w:bCs/>
                <w:color w:val="1F4E79" w:themeColor="accent1" w:themeShade="80"/>
                <w:szCs w:val="24"/>
              </w:rPr>
              <w:t>Vision</w:t>
            </w:r>
          </w:p>
        </w:tc>
        <w:tc>
          <w:tcPr>
            <w:tcW w:w="7261" w:type="dxa"/>
          </w:tcPr>
          <w:p w14:paraId="40CF2395" w14:textId="77777777" w:rsidR="00ED729C" w:rsidRPr="00465053" w:rsidRDefault="001A155F">
            <w:pPr>
              <w:rPr>
                <w:rFonts w:ascii="Calibri" w:hAnsi="Calibri" w:cs="Calibri"/>
                <w:color w:val="1F4E79" w:themeColor="accent1" w:themeShade="80"/>
              </w:rPr>
            </w:pPr>
            <w:r w:rsidRPr="00465053">
              <w:rPr>
                <w:rFonts w:ascii="Calibri" w:hAnsi="Calibri" w:cs="Calibri"/>
                <w:color w:val="1F4E79" w:themeColor="accent1" w:themeShade="80"/>
              </w:rPr>
              <w:t>The BGE Planning Tool provides a shared framework for designing high-quality learning, teaching and assessment across the Broad General Education. It supports teachers to plan coherent, progressive learning experiences which develop knowledge, skills and attributes, respond to learners' needs, improve consistency of learner experience and strengthen transition into the Senior Phase.</w:t>
            </w:r>
            <w:r w:rsidRPr="00465053">
              <w:rPr>
                <w:rFonts w:ascii="Calibri" w:hAnsi="Calibri" w:cs="Calibri"/>
                <w:color w:val="1F4E79" w:themeColor="accent1" w:themeShade="80"/>
              </w:rPr>
              <w:br/>
            </w:r>
            <w:r w:rsidRPr="00465053">
              <w:rPr>
                <w:rFonts w:ascii="Calibri" w:hAnsi="Calibri" w:cs="Calibri"/>
                <w:color w:val="1F4E79" w:themeColor="accent1" w:themeShade="80"/>
              </w:rPr>
              <w:br/>
              <w:t>Planning promotes:</w:t>
            </w:r>
            <w:r w:rsidRPr="00465053">
              <w:rPr>
                <w:rFonts w:ascii="Calibri" w:hAnsi="Calibri" w:cs="Calibri"/>
                <w:color w:val="1F4E79" w:themeColor="accent1" w:themeShade="80"/>
              </w:rPr>
              <w:br/>
              <w:t>• clear progression</w:t>
            </w:r>
            <w:r w:rsidRPr="00465053">
              <w:rPr>
                <w:rFonts w:ascii="Calibri" w:hAnsi="Calibri" w:cs="Calibri"/>
                <w:color w:val="1F4E79" w:themeColor="accent1" w:themeShade="80"/>
              </w:rPr>
              <w:br/>
              <w:t>• appropriate pace and challenge</w:t>
            </w:r>
            <w:r w:rsidRPr="00465053">
              <w:rPr>
                <w:rFonts w:ascii="Calibri" w:hAnsi="Calibri" w:cs="Calibri"/>
                <w:color w:val="1F4E79" w:themeColor="accent1" w:themeShade="80"/>
              </w:rPr>
              <w:br/>
              <w:t>• adaptive teaching</w:t>
            </w:r>
            <w:r w:rsidRPr="00465053">
              <w:rPr>
                <w:rFonts w:ascii="Calibri" w:hAnsi="Calibri" w:cs="Calibri"/>
                <w:color w:val="1F4E79" w:themeColor="accent1" w:themeShade="80"/>
              </w:rPr>
              <w:br/>
              <w:t>• effective questioning</w:t>
            </w:r>
            <w:r w:rsidRPr="00465053">
              <w:rPr>
                <w:rFonts w:ascii="Calibri" w:hAnsi="Calibri" w:cs="Calibri"/>
                <w:color w:val="1F4E79" w:themeColor="accent1" w:themeShade="80"/>
              </w:rPr>
              <w:br/>
              <w:t>• planned assessment and feedback</w:t>
            </w:r>
            <w:r w:rsidRPr="00465053">
              <w:rPr>
                <w:rFonts w:ascii="Calibri" w:hAnsi="Calibri" w:cs="Calibri"/>
                <w:color w:val="1F4E79" w:themeColor="accent1" w:themeShade="80"/>
              </w:rPr>
              <w:br/>
              <w:t>• literacy, numeracy and health and wellbeing across learning</w:t>
            </w:r>
            <w:r w:rsidRPr="00465053">
              <w:rPr>
                <w:rFonts w:ascii="Calibri" w:hAnsi="Calibri" w:cs="Calibri"/>
                <w:color w:val="1F4E79" w:themeColor="accent1" w:themeShade="80"/>
              </w:rPr>
              <w:br/>
              <w:t>• purposeful use of digital technology</w:t>
            </w:r>
          </w:p>
        </w:tc>
      </w:tr>
      <w:tr w:rsidR="00AD473E" w:rsidRPr="00465053" w14:paraId="1D86A041" w14:textId="77777777" w:rsidTr="10BA37BD">
        <w:tc>
          <w:tcPr>
            <w:tcW w:w="1755" w:type="dxa"/>
          </w:tcPr>
          <w:p w14:paraId="1B82B6E2" w14:textId="77777777" w:rsidR="009B19BE" w:rsidRPr="00465053" w:rsidRDefault="38E61E0E" w:rsidP="00F11F0F">
            <w:pPr>
              <w:rPr>
                <w:rFonts w:ascii="Calibri" w:eastAsia="Comic Sans MS" w:hAnsi="Calibri" w:cs="Calibri"/>
                <w:b/>
                <w:bCs/>
                <w:color w:val="1F4E79" w:themeColor="accent1" w:themeShade="80"/>
                <w:szCs w:val="24"/>
              </w:rPr>
            </w:pPr>
            <w:r w:rsidRPr="00465053">
              <w:rPr>
                <w:rFonts w:ascii="Calibri" w:eastAsia="Comic Sans MS" w:hAnsi="Calibri" w:cs="Calibri"/>
                <w:b/>
                <w:bCs/>
                <w:color w:val="1F4E79" w:themeColor="accent1" w:themeShade="80"/>
                <w:szCs w:val="24"/>
              </w:rPr>
              <w:t>Outcome Statement 20</w:t>
            </w:r>
            <w:r w:rsidR="00EF0051" w:rsidRPr="00465053">
              <w:rPr>
                <w:rFonts w:ascii="Calibri" w:eastAsia="Comic Sans MS" w:hAnsi="Calibri" w:cs="Calibri"/>
                <w:b/>
                <w:bCs/>
                <w:color w:val="1F4E79" w:themeColor="accent1" w:themeShade="80"/>
                <w:szCs w:val="24"/>
              </w:rPr>
              <w:t>26</w:t>
            </w:r>
            <w:r w:rsidRPr="00465053">
              <w:rPr>
                <w:rFonts w:ascii="Calibri" w:eastAsia="Comic Sans MS" w:hAnsi="Calibri" w:cs="Calibri"/>
                <w:b/>
                <w:bCs/>
                <w:color w:val="1F4E79" w:themeColor="accent1" w:themeShade="80"/>
                <w:szCs w:val="24"/>
              </w:rPr>
              <w:t>-2</w:t>
            </w:r>
            <w:r w:rsidR="00EF0051" w:rsidRPr="00465053">
              <w:rPr>
                <w:rFonts w:ascii="Calibri" w:eastAsia="Comic Sans MS" w:hAnsi="Calibri" w:cs="Calibri"/>
                <w:b/>
                <w:bCs/>
                <w:color w:val="1F4E79" w:themeColor="accent1" w:themeShade="80"/>
                <w:szCs w:val="24"/>
              </w:rPr>
              <w:t>7</w:t>
            </w:r>
            <w:r w:rsidRPr="00465053">
              <w:rPr>
                <w:rFonts w:ascii="Calibri" w:eastAsia="Comic Sans MS" w:hAnsi="Calibri" w:cs="Calibri"/>
                <w:b/>
                <w:bCs/>
                <w:color w:val="1F4E79" w:themeColor="accent1" w:themeShade="80"/>
                <w:szCs w:val="24"/>
              </w:rPr>
              <w:t xml:space="preserve"> </w:t>
            </w:r>
          </w:p>
          <w:p w14:paraId="00AEAB9C" w14:textId="77777777" w:rsidR="00F11F0F" w:rsidRPr="00465053" w:rsidRDefault="00F11F0F" w:rsidP="00F11F0F">
            <w:pPr>
              <w:rPr>
                <w:rFonts w:ascii="Calibri" w:eastAsia="Comic Sans MS" w:hAnsi="Calibri" w:cs="Calibri"/>
                <w:b/>
                <w:bCs/>
                <w:color w:val="1F4E79" w:themeColor="accent1" w:themeShade="80"/>
                <w:szCs w:val="24"/>
              </w:rPr>
            </w:pPr>
            <w:r w:rsidRPr="00465053">
              <w:rPr>
                <w:rFonts w:ascii="Calibri" w:eastAsia="Comic Sans MS" w:hAnsi="Calibri" w:cs="Calibri"/>
                <w:b/>
                <w:bCs/>
                <w:color w:val="1F4E79" w:themeColor="accent1" w:themeShade="80"/>
                <w:szCs w:val="24"/>
              </w:rPr>
              <w:t xml:space="preserve">What? </w:t>
            </w:r>
          </w:p>
          <w:p w14:paraId="47FA394B" w14:textId="77777777" w:rsidR="00F11F0F" w:rsidRPr="00465053" w:rsidRDefault="00F11F0F" w:rsidP="00F11F0F">
            <w:pPr>
              <w:rPr>
                <w:rFonts w:ascii="Calibri" w:eastAsia="Comic Sans MS" w:hAnsi="Calibri" w:cs="Calibri"/>
                <w:b/>
                <w:bCs/>
                <w:color w:val="1F4E79" w:themeColor="accent1" w:themeShade="80"/>
                <w:szCs w:val="24"/>
              </w:rPr>
            </w:pPr>
            <w:r w:rsidRPr="00465053">
              <w:rPr>
                <w:rFonts w:ascii="Calibri" w:eastAsia="Comic Sans MS" w:hAnsi="Calibri" w:cs="Calibri"/>
                <w:b/>
                <w:bCs/>
                <w:color w:val="1F4E79" w:themeColor="accent1" w:themeShade="80"/>
                <w:szCs w:val="24"/>
              </w:rPr>
              <w:t xml:space="preserve">How? </w:t>
            </w:r>
          </w:p>
          <w:p w14:paraId="6574BFDF" w14:textId="77777777" w:rsidR="00F11F0F" w:rsidRPr="00465053" w:rsidRDefault="00F11F0F" w:rsidP="00F11F0F">
            <w:pPr>
              <w:rPr>
                <w:rFonts w:ascii="Calibri" w:eastAsia="Comic Sans MS" w:hAnsi="Calibri" w:cs="Calibri"/>
                <w:b/>
                <w:bCs/>
                <w:color w:val="1F4E79" w:themeColor="accent1" w:themeShade="80"/>
                <w:szCs w:val="24"/>
              </w:rPr>
            </w:pPr>
            <w:r w:rsidRPr="00465053">
              <w:rPr>
                <w:rFonts w:ascii="Calibri" w:eastAsia="Comic Sans MS" w:hAnsi="Calibri" w:cs="Calibri"/>
                <w:b/>
                <w:bCs/>
                <w:color w:val="1F4E79" w:themeColor="accent1" w:themeShade="80"/>
                <w:szCs w:val="24"/>
              </w:rPr>
              <w:t xml:space="preserve">When? </w:t>
            </w:r>
          </w:p>
          <w:p w14:paraId="4AF1BA35" w14:textId="77777777" w:rsidR="00AD473E" w:rsidRPr="00465053" w:rsidRDefault="00F11F0F" w:rsidP="00F11F0F">
            <w:pPr>
              <w:rPr>
                <w:rFonts w:ascii="Calibri" w:eastAsia="Comic Sans MS" w:hAnsi="Calibri" w:cs="Calibri"/>
                <w:b/>
                <w:bCs/>
                <w:color w:val="1F4E79" w:themeColor="accent1" w:themeShade="80"/>
                <w:szCs w:val="24"/>
              </w:rPr>
            </w:pPr>
            <w:r w:rsidRPr="00465053">
              <w:rPr>
                <w:rFonts w:ascii="Calibri" w:eastAsia="Comic Sans MS" w:hAnsi="Calibri" w:cs="Calibri"/>
                <w:b/>
                <w:bCs/>
                <w:color w:val="1F4E79" w:themeColor="accent1" w:themeShade="80"/>
                <w:szCs w:val="24"/>
              </w:rPr>
              <w:t>Who?</w:t>
            </w:r>
          </w:p>
        </w:tc>
        <w:tc>
          <w:tcPr>
            <w:tcW w:w="7261" w:type="dxa"/>
          </w:tcPr>
          <w:p w14:paraId="3681682F" w14:textId="77777777" w:rsidR="00ED729C" w:rsidRPr="00465053" w:rsidRDefault="001A155F">
            <w:pPr>
              <w:rPr>
                <w:rFonts w:ascii="Calibri" w:hAnsi="Calibri" w:cs="Calibri"/>
                <w:color w:val="1F4E79" w:themeColor="accent1" w:themeShade="80"/>
              </w:rPr>
            </w:pPr>
            <w:r w:rsidRPr="00465053">
              <w:rPr>
                <w:rFonts w:ascii="Calibri" w:hAnsi="Calibri" w:cs="Calibri"/>
                <w:color w:val="1F4E79" w:themeColor="accent1" w:themeShade="80"/>
              </w:rPr>
              <w:t>PHS self-evaluation measures updated for 2026–27.</w:t>
            </w:r>
            <w:r w:rsidRPr="00465053">
              <w:rPr>
                <w:rFonts w:ascii="Calibri" w:hAnsi="Calibri" w:cs="Calibri"/>
                <w:color w:val="1F4E79" w:themeColor="accent1" w:themeShade="80"/>
              </w:rPr>
              <w:br/>
            </w:r>
            <w:r w:rsidRPr="00465053">
              <w:rPr>
                <w:rFonts w:ascii="Calibri" w:hAnsi="Calibri" w:cs="Calibri"/>
                <w:color w:val="1F4E79" w:themeColor="accent1" w:themeShade="80"/>
              </w:rPr>
              <w:br/>
              <w:t>What? Continue refinement and implementation of the BGE Planning Tool.</w:t>
            </w:r>
            <w:r w:rsidRPr="00465053">
              <w:rPr>
                <w:rFonts w:ascii="Calibri" w:hAnsi="Calibri" w:cs="Calibri"/>
                <w:color w:val="1F4E79" w:themeColor="accent1" w:themeShade="80"/>
              </w:rPr>
              <w:br/>
              <w:t>How? Departments review planning using Es &amp; Os, Benchmarks, SBC progression frameworks and moderation evidence while embedding approaches to meeting learners' needs, literacy and digital pedagogy.</w:t>
            </w:r>
            <w:r w:rsidRPr="00465053">
              <w:rPr>
                <w:rFonts w:ascii="Calibri" w:hAnsi="Calibri" w:cs="Calibri"/>
                <w:color w:val="1F4E79" w:themeColor="accent1" w:themeShade="80"/>
              </w:rPr>
              <w:br/>
              <w:t>When? Ongoing throughout the session with departmental QA and moderation.</w:t>
            </w:r>
            <w:r w:rsidRPr="00465053">
              <w:rPr>
                <w:rFonts w:ascii="Calibri" w:hAnsi="Calibri" w:cs="Calibri"/>
                <w:color w:val="1F4E79" w:themeColor="accent1" w:themeShade="80"/>
              </w:rPr>
              <w:br/>
              <w:t>Who? All teaching staff, PTs, Learning &amp; Teaching Working Group and SLT.</w:t>
            </w:r>
          </w:p>
        </w:tc>
      </w:tr>
      <w:tr w:rsidR="00AD473E" w:rsidRPr="00465053" w14:paraId="706279E6" w14:textId="77777777" w:rsidTr="10BA37BD">
        <w:tc>
          <w:tcPr>
            <w:tcW w:w="1755" w:type="dxa"/>
          </w:tcPr>
          <w:p w14:paraId="50BE9489" w14:textId="77777777" w:rsidR="00AD473E" w:rsidRPr="00465053" w:rsidRDefault="32629401" w:rsidP="6D9C7F0A">
            <w:pPr>
              <w:rPr>
                <w:rFonts w:ascii="Calibri" w:eastAsia="Comic Sans MS" w:hAnsi="Calibri" w:cs="Calibri"/>
                <w:b/>
                <w:bCs/>
                <w:color w:val="1F4E79" w:themeColor="accent1" w:themeShade="80"/>
                <w:szCs w:val="24"/>
              </w:rPr>
            </w:pPr>
            <w:r w:rsidRPr="00465053">
              <w:rPr>
                <w:rFonts w:ascii="Calibri" w:eastAsia="Comic Sans MS" w:hAnsi="Calibri" w:cs="Calibri"/>
                <w:b/>
                <w:bCs/>
                <w:color w:val="1F4E79" w:themeColor="accent1" w:themeShade="80"/>
                <w:szCs w:val="24"/>
              </w:rPr>
              <w:t>Parent</w:t>
            </w:r>
            <w:r w:rsidR="0064599A" w:rsidRPr="00465053">
              <w:rPr>
                <w:rFonts w:ascii="Calibri" w:eastAsia="Comic Sans MS" w:hAnsi="Calibri" w:cs="Calibri"/>
                <w:b/>
                <w:bCs/>
                <w:color w:val="1F4E79" w:themeColor="accent1" w:themeShade="80"/>
                <w:szCs w:val="24"/>
              </w:rPr>
              <w:t>/Carer</w:t>
            </w:r>
            <w:r w:rsidRPr="00465053">
              <w:rPr>
                <w:rFonts w:ascii="Calibri" w:eastAsia="Comic Sans MS" w:hAnsi="Calibri" w:cs="Calibri"/>
                <w:b/>
                <w:bCs/>
                <w:color w:val="1F4E79" w:themeColor="accent1" w:themeShade="80"/>
                <w:szCs w:val="24"/>
              </w:rPr>
              <w:t xml:space="preserve"> input</w:t>
            </w:r>
          </w:p>
        </w:tc>
        <w:tc>
          <w:tcPr>
            <w:tcW w:w="7261" w:type="dxa"/>
          </w:tcPr>
          <w:p w14:paraId="3A552B14" w14:textId="77777777" w:rsidR="00ED729C" w:rsidRPr="00465053" w:rsidRDefault="001A155F">
            <w:pPr>
              <w:rPr>
                <w:rFonts w:ascii="Calibri" w:hAnsi="Calibri" w:cs="Calibri"/>
                <w:color w:val="1F4E79" w:themeColor="accent1" w:themeShade="80"/>
              </w:rPr>
            </w:pPr>
            <w:r w:rsidRPr="00465053">
              <w:rPr>
                <w:rFonts w:ascii="Calibri" w:hAnsi="Calibri" w:cs="Calibri"/>
                <w:color w:val="1F4E79" w:themeColor="accent1" w:themeShade="80"/>
              </w:rPr>
              <w:t>Use SBC/HMIE questionnaires, Learning and Teaching focus groups and parental consultation to evaluate the impact of curriculum planning and inform next steps.</w:t>
            </w:r>
          </w:p>
        </w:tc>
      </w:tr>
      <w:tr w:rsidR="00AD473E" w:rsidRPr="00465053" w14:paraId="075CF0BD" w14:textId="77777777" w:rsidTr="10BA37BD">
        <w:tc>
          <w:tcPr>
            <w:tcW w:w="1755" w:type="dxa"/>
          </w:tcPr>
          <w:p w14:paraId="0CEB7261" w14:textId="77777777" w:rsidR="00AD473E" w:rsidRPr="00465053" w:rsidRDefault="32629401" w:rsidP="6D9C7F0A">
            <w:pPr>
              <w:rPr>
                <w:rFonts w:ascii="Calibri" w:eastAsia="Comic Sans MS" w:hAnsi="Calibri" w:cs="Calibri"/>
                <w:b/>
                <w:bCs/>
                <w:color w:val="1F4E79" w:themeColor="accent1" w:themeShade="80"/>
                <w:szCs w:val="24"/>
              </w:rPr>
            </w:pPr>
            <w:r w:rsidRPr="00465053">
              <w:rPr>
                <w:rFonts w:ascii="Calibri" w:eastAsia="Comic Sans MS" w:hAnsi="Calibri" w:cs="Calibri"/>
                <w:b/>
                <w:bCs/>
                <w:color w:val="1F4E79" w:themeColor="accent1" w:themeShade="80"/>
                <w:szCs w:val="24"/>
              </w:rPr>
              <w:t>Pupil input</w:t>
            </w:r>
          </w:p>
        </w:tc>
        <w:tc>
          <w:tcPr>
            <w:tcW w:w="7261" w:type="dxa"/>
          </w:tcPr>
          <w:p w14:paraId="3F8FB699" w14:textId="77777777" w:rsidR="00ED729C" w:rsidRPr="00465053" w:rsidRDefault="001A155F">
            <w:pPr>
              <w:rPr>
                <w:rFonts w:ascii="Calibri" w:hAnsi="Calibri" w:cs="Calibri"/>
                <w:color w:val="1F4E79" w:themeColor="accent1" w:themeShade="80"/>
              </w:rPr>
            </w:pPr>
            <w:r w:rsidRPr="00465053">
              <w:rPr>
                <w:rFonts w:ascii="Calibri" w:hAnsi="Calibri" w:cs="Calibri"/>
                <w:color w:val="1F4E79" w:themeColor="accent1" w:themeShade="80"/>
              </w:rPr>
              <w:t>Use SBC/HMIE questionnaires, PHS Learning and Teaching surveys, Student Parliament and learner focus groups to evaluate the impact of curriculum planning.</w:t>
            </w:r>
          </w:p>
        </w:tc>
      </w:tr>
    </w:tbl>
    <w:p w14:paraId="138C3E62" w14:textId="77777777" w:rsidR="10BA37BD" w:rsidRPr="00465053" w:rsidRDefault="10BA37BD">
      <w:pPr>
        <w:rPr>
          <w:rFonts w:ascii="Calibri" w:hAnsi="Calibri" w:cs="Calibri"/>
          <w:color w:val="1F4E79" w:themeColor="accent1" w:themeShade="80"/>
        </w:rPr>
      </w:pPr>
    </w:p>
    <w:p w14:paraId="0641E02A" w14:textId="77777777" w:rsidR="006219EE" w:rsidRPr="00465053" w:rsidRDefault="006219EE" w:rsidP="006219EE">
      <w:pPr>
        <w:rPr>
          <w:rFonts w:ascii="Calibri" w:hAnsi="Calibri" w:cs="Calibri"/>
          <w:color w:val="1F4E79" w:themeColor="accent1" w:themeShade="80"/>
          <w:szCs w:val="24"/>
        </w:rPr>
      </w:pPr>
    </w:p>
    <w:p w14:paraId="28416554" w14:textId="77777777" w:rsidR="00956F78" w:rsidRPr="00465053" w:rsidRDefault="00956F78" w:rsidP="00956F78">
      <w:pPr>
        <w:tabs>
          <w:tab w:val="left" w:pos="1365"/>
        </w:tabs>
        <w:rPr>
          <w:rFonts w:ascii="Calibri" w:hAnsi="Calibri" w:cs="Calibri"/>
          <w:color w:val="1F4E79" w:themeColor="accent1" w:themeShade="80"/>
          <w:szCs w:val="24"/>
        </w:rPr>
      </w:pPr>
    </w:p>
    <w:sectPr w:rsidR="00956F78" w:rsidRPr="004650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85F3D"/>
    <w:multiLevelType w:val="multilevel"/>
    <w:tmpl w:val="CD2C9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D02121"/>
    <w:multiLevelType w:val="multilevel"/>
    <w:tmpl w:val="452CF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570A8E"/>
    <w:multiLevelType w:val="multilevel"/>
    <w:tmpl w:val="244CBE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F8238A6"/>
    <w:multiLevelType w:val="multilevel"/>
    <w:tmpl w:val="108E65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348E5CC4"/>
    <w:multiLevelType w:val="multilevel"/>
    <w:tmpl w:val="37CCE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766E85"/>
    <w:multiLevelType w:val="hybridMultilevel"/>
    <w:tmpl w:val="769468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0EF5CCC"/>
    <w:multiLevelType w:val="multilevel"/>
    <w:tmpl w:val="A55C2C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4985444B"/>
    <w:multiLevelType w:val="multilevel"/>
    <w:tmpl w:val="6B6EC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07348E"/>
    <w:multiLevelType w:val="multilevel"/>
    <w:tmpl w:val="EC6E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8A57AE"/>
    <w:multiLevelType w:val="multilevel"/>
    <w:tmpl w:val="1044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51D5E6D"/>
    <w:multiLevelType w:val="multilevel"/>
    <w:tmpl w:val="AA96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237F3C"/>
    <w:multiLevelType w:val="multilevel"/>
    <w:tmpl w:val="DB9C8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883DD2"/>
    <w:multiLevelType w:val="multilevel"/>
    <w:tmpl w:val="C5305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3062983">
    <w:abstractNumId w:val="5"/>
  </w:num>
  <w:num w:numId="2" w16cid:durableId="2127238814">
    <w:abstractNumId w:val="12"/>
  </w:num>
  <w:num w:numId="3" w16cid:durableId="87314668">
    <w:abstractNumId w:val="9"/>
  </w:num>
  <w:num w:numId="4" w16cid:durableId="1193495975">
    <w:abstractNumId w:val="3"/>
  </w:num>
  <w:num w:numId="5" w16cid:durableId="1798600408">
    <w:abstractNumId w:val="6"/>
  </w:num>
  <w:num w:numId="6" w16cid:durableId="222982859">
    <w:abstractNumId w:val="2"/>
  </w:num>
  <w:num w:numId="7" w16cid:durableId="973022642">
    <w:abstractNumId w:val="0"/>
  </w:num>
  <w:num w:numId="8" w16cid:durableId="1069772103">
    <w:abstractNumId w:val="7"/>
  </w:num>
  <w:num w:numId="9" w16cid:durableId="1838380598">
    <w:abstractNumId w:val="1"/>
  </w:num>
  <w:num w:numId="10" w16cid:durableId="71123857">
    <w:abstractNumId w:val="4"/>
  </w:num>
  <w:num w:numId="11" w16cid:durableId="265499914">
    <w:abstractNumId w:val="10"/>
  </w:num>
  <w:num w:numId="12" w16cid:durableId="168108429">
    <w:abstractNumId w:val="11"/>
  </w:num>
  <w:num w:numId="13" w16cid:durableId="34683299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78"/>
    <w:rsid w:val="000050EF"/>
    <w:rsid w:val="00064959"/>
    <w:rsid w:val="000776AF"/>
    <w:rsid w:val="00086615"/>
    <w:rsid w:val="000A0683"/>
    <w:rsid w:val="000D47E2"/>
    <w:rsid w:val="001005FD"/>
    <w:rsid w:val="00107FF3"/>
    <w:rsid w:val="00120133"/>
    <w:rsid w:val="0013240A"/>
    <w:rsid w:val="00132A36"/>
    <w:rsid w:val="00135769"/>
    <w:rsid w:val="00160A53"/>
    <w:rsid w:val="001829B9"/>
    <w:rsid w:val="001A6A44"/>
    <w:rsid w:val="001B68B4"/>
    <w:rsid w:val="001C3E71"/>
    <w:rsid w:val="0020260B"/>
    <w:rsid w:val="0020396B"/>
    <w:rsid w:val="00222BBC"/>
    <w:rsid w:val="002807A8"/>
    <w:rsid w:val="002A59A6"/>
    <w:rsid w:val="003069A1"/>
    <w:rsid w:val="003261C7"/>
    <w:rsid w:val="00351A24"/>
    <w:rsid w:val="00370F01"/>
    <w:rsid w:val="003750FF"/>
    <w:rsid w:val="003960A4"/>
    <w:rsid w:val="003A0D11"/>
    <w:rsid w:val="003A4510"/>
    <w:rsid w:val="003F7676"/>
    <w:rsid w:val="004265FE"/>
    <w:rsid w:val="00427A1F"/>
    <w:rsid w:val="00432D07"/>
    <w:rsid w:val="00452611"/>
    <w:rsid w:val="00455B17"/>
    <w:rsid w:val="00465053"/>
    <w:rsid w:val="00466CB7"/>
    <w:rsid w:val="00466E46"/>
    <w:rsid w:val="00495935"/>
    <w:rsid w:val="004D77A2"/>
    <w:rsid w:val="0051149E"/>
    <w:rsid w:val="005348E4"/>
    <w:rsid w:val="005404CC"/>
    <w:rsid w:val="00540A5A"/>
    <w:rsid w:val="0054684B"/>
    <w:rsid w:val="00564012"/>
    <w:rsid w:val="005717B0"/>
    <w:rsid w:val="00587E91"/>
    <w:rsid w:val="005A07C1"/>
    <w:rsid w:val="005B774E"/>
    <w:rsid w:val="00602BBA"/>
    <w:rsid w:val="00603A64"/>
    <w:rsid w:val="006219EE"/>
    <w:rsid w:val="006248C8"/>
    <w:rsid w:val="00635AE9"/>
    <w:rsid w:val="0064599A"/>
    <w:rsid w:val="00670292"/>
    <w:rsid w:val="0067173E"/>
    <w:rsid w:val="00674F31"/>
    <w:rsid w:val="006C321C"/>
    <w:rsid w:val="006C39E9"/>
    <w:rsid w:val="006D0F83"/>
    <w:rsid w:val="006D42C7"/>
    <w:rsid w:val="006E5981"/>
    <w:rsid w:val="00704838"/>
    <w:rsid w:val="007157D8"/>
    <w:rsid w:val="0074108C"/>
    <w:rsid w:val="007463AA"/>
    <w:rsid w:val="00752B6A"/>
    <w:rsid w:val="00757070"/>
    <w:rsid w:val="00757F62"/>
    <w:rsid w:val="00790B9E"/>
    <w:rsid w:val="007C707D"/>
    <w:rsid w:val="007E3ACD"/>
    <w:rsid w:val="00813036"/>
    <w:rsid w:val="00836564"/>
    <w:rsid w:val="00851506"/>
    <w:rsid w:val="008525C2"/>
    <w:rsid w:val="00861A16"/>
    <w:rsid w:val="00894D19"/>
    <w:rsid w:val="008D0D79"/>
    <w:rsid w:val="008F19FE"/>
    <w:rsid w:val="009048FE"/>
    <w:rsid w:val="00912FAA"/>
    <w:rsid w:val="00915AF8"/>
    <w:rsid w:val="00956F78"/>
    <w:rsid w:val="009A37B6"/>
    <w:rsid w:val="009B19BE"/>
    <w:rsid w:val="009F474A"/>
    <w:rsid w:val="00A130CF"/>
    <w:rsid w:val="00A4614D"/>
    <w:rsid w:val="00AD473E"/>
    <w:rsid w:val="00AD6B72"/>
    <w:rsid w:val="00AE4731"/>
    <w:rsid w:val="00AE68F3"/>
    <w:rsid w:val="00AF022C"/>
    <w:rsid w:val="00AF2767"/>
    <w:rsid w:val="00B125EC"/>
    <w:rsid w:val="00B316A6"/>
    <w:rsid w:val="00B71D72"/>
    <w:rsid w:val="00B86963"/>
    <w:rsid w:val="00B86D1A"/>
    <w:rsid w:val="00B94443"/>
    <w:rsid w:val="00BD2866"/>
    <w:rsid w:val="00BE0743"/>
    <w:rsid w:val="00BE406E"/>
    <w:rsid w:val="00BE6FE5"/>
    <w:rsid w:val="00C1564D"/>
    <w:rsid w:val="00C60C24"/>
    <w:rsid w:val="00C70C77"/>
    <w:rsid w:val="00C94367"/>
    <w:rsid w:val="00CA56DF"/>
    <w:rsid w:val="00CC63A1"/>
    <w:rsid w:val="00CE59EA"/>
    <w:rsid w:val="00CF2367"/>
    <w:rsid w:val="00CF707A"/>
    <w:rsid w:val="00D045E3"/>
    <w:rsid w:val="00D13ABD"/>
    <w:rsid w:val="00D14B14"/>
    <w:rsid w:val="00D35B1B"/>
    <w:rsid w:val="00D40334"/>
    <w:rsid w:val="00D55B25"/>
    <w:rsid w:val="00D6039B"/>
    <w:rsid w:val="00D62877"/>
    <w:rsid w:val="00DF517E"/>
    <w:rsid w:val="00E4042F"/>
    <w:rsid w:val="00E63653"/>
    <w:rsid w:val="00E878B2"/>
    <w:rsid w:val="00EB2C9B"/>
    <w:rsid w:val="00ED5427"/>
    <w:rsid w:val="00ED729C"/>
    <w:rsid w:val="00EE0004"/>
    <w:rsid w:val="00EE55EE"/>
    <w:rsid w:val="00EF0051"/>
    <w:rsid w:val="00EF1027"/>
    <w:rsid w:val="00EF59A7"/>
    <w:rsid w:val="00F02123"/>
    <w:rsid w:val="00F03A66"/>
    <w:rsid w:val="00F11F0F"/>
    <w:rsid w:val="00F15E4C"/>
    <w:rsid w:val="00F226AA"/>
    <w:rsid w:val="00F45EE7"/>
    <w:rsid w:val="00F91BF2"/>
    <w:rsid w:val="00FC1DF5"/>
    <w:rsid w:val="0168287A"/>
    <w:rsid w:val="01D2D55A"/>
    <w:rsid w:val="033553CF"/>
    <w:rsid w:val="035AC75E"/>
    <w:rsid w:val="04A57A5E"/>
    <w:rsid w:val="05251F69"/>
    <w:rsid w:val="057F63EB"/>
    <w:rsid w:val="059DE3AE"/>
    <w:rsid w:val="0650EBC3"/>
    <w:rsid w:val="07619C88"/>
    <w:rsid w:val="07A392FD"/>
    <w:rsid w:val="0864F293"/>
    <w:rsid w:val="08B418A1"/>
    <w:rsid w:val="0B43CC7B"/>
    <w:rsid w:val="0B94E892"/>
    <w:rsid w:val="0C1C9163"/>
    <w:rsid w:val="0CC39522"/>
    <w:rsid w:val="0DE27FD0"/>
    <w:rsid w:val="0E00B58A"/>
    <w:rsid w:val="0EB0DB37"/>
    <w:rsid w:val="0FD4C233"/>
    <w:rsid w:val="10757F55"/>
    <w:rsid w:val="10A5BFCA"/>
    <w:rsid w:val="10BA37BD"/>
    <w:rsid w:val="10F5CF3F"/>
    <w:rsid w:val="11325464"/>
    <w:rsid w:val="11C97E24"/>
    <w:rsid w:val="12AE21D4"/>
    <w:rsid w:val="13E93D83"/>
    <w:rsid w:val="162A804B"/>
    <w:rsid w:val="16B8BF4F"/>
    <w:rsid w:val="17044246"/>
    <w:rsid w:val="194EBDFC"/>
    <w:rsid w:val="1AE05F78"/>
    <w:rsid w:val="1E923996"/>
    <w:rsid w:val="1EDAE0C3"/>
    <w:rsid w:val="1FA90ECB"/>
    <w:rsid w:val="2401D05F"/>
    <w:rsid w:val="241200A5"/>
    <w:rsid w:val="2459F687"/>
    <w:rsid w:val="248A1E8F"/>
    <w:rsid w:val="258CBE7E"/>
    <w:rsid w:val="26C299AA"/>
    <w:rsid w:val="2724689D"/>
    <w:rsid w:val="2732CDDC"/>
    <w:rsid w:val="27364895"/>
    <w:rsid w:val="27EBE256"/>
    <w:rsid w:val="27EDB4E7"/>
    <w:rsid w:val="29D5C14F"/>
    <w:rsid w:val="2A89B458"/>
    <w:rsid w:val="2B06081D"/>
    <w:rsid w:val="2BF3D573"/>
    <w:rsid w:val="2C3BA7D4"/>
    <w:rsid w:val="2C71F278"/>
    <w:rsid w:val="2C76F27C"/>
    <w:rsid w:val="2CA36C63"/>
    <w:rsid w:val="2CF83C91"/>
    <w:rsid w:val="2E30FA68"/>
    <w:rsid w:val="2F00CFCE"/>
    <w:rsid w:val="2F283042"/>
    <w:rsid w:val="2F73B037"/>
    <w:rsid w:val="305F9473"/>
    <w:rsid w:val="31E9F0D4"/>
    <w:rsid w:val="31FF1994"/>
    <w:rsid w:val="32629401"/>
    <w:rsid w:val="33763607"/>
    <w:rsid w:val="33806481"/>
    <w:rsid w:val="33BD0AE8"/>
    <w:rsid w:val="33CA300F"/>
    <w:rsid w:val="33D2FF70"/>
    <w:rsid w:val="34114949"/>
    <w:rsid w:val="34C07971"/>
    <w:rsid w:val="36D24A63"/>
    <w:rsid w:val="3727B479"/>
    <w:rsid w:val="3746FD17"/>
    <w:rsid w:val="38370574"/>
    <w:rsid w:val="38508B3E"/>
    <w:rsid w:val="38E61E0E"/>
    <w:rsid w:val="393AA3FD"/>
    <w:rsid w:val="3E289974"/>
    <w:rsid w:val="3E865A3D"/>
    <w:rsid w:val="40A12AEF"/>
    <w:rsid w:val="40BEB613"/>
    <w:rsid w:val="412C757E"/>
    <w:rsid w:val="4180AFC5"/>
    <w:rsid w:val="41B3D3B1"/>
    <w:rsid w:val="42537DCA"/>
    <w:rsid w:val="43439DF4"/>
    <w:rsid w:val="4346637F"/>
    <w:rsid w:val="43DAA56E"/>
    <w:rsid w:val="43DECC63"/>
    <w:rsid w:val="4471FC8F"/>
    <w:rsid w:val="449C3F17"/>
    <w:rsid w:val="4526C580"/>
    <w:rsid w:val="46F49FD8"/>
    <w:rsid w:val="48FEED37"/>
    <w:rsid w:val="497252CC"/>
    <w:rsid w:val="4A0299DF"/>
    <w:rsid w:val="4BE0066F"/>
    <w:rsid w:val="4DBF7BA5"/>
    <w:rsid w:val="4DFC2C27"/>
    <w:rsid w:val="4E6BEBA7"/>
    <w:rsid w:val="501F6BB1"/>
    <w:rsid w:val="5045E702"/>
    <w:rsid w:val="50634B66"/>
    <w:rsid w:val="508C95E2"/>
    <w:rsid w:val="5123B9AC"/>
    <w:rsid w:val="547E5385"/>
    <w:rsid w:val="54D7D479"/>
    <w:rsid w:val="5658F409"/>
    <w:rsid w:val="568B8912"/>
    <w:rsid w:val="57691D2D"/>
    <w:rsid w:val="57B8D81B"/>
    <w:rsid w:val="5827C8F0"/>
    <w:rsid w:val="5899C370"/>
    <w:rsid w:val="58E2800B"/>
    <w:rsid w:val="58F03EA8"/>
    <w:rsid w:val="59819249"/>
    <w:rsid w:val="5BC03085"/>
    <w:rsid w:val="5C039B64"/>
    <w:rsid w:val="5CCBC952"/>
    <w:rsid w:val="5D8015F1"/>
    <w:rsid w:val="5D85D8BE"/>
    <w:rsid w:val="5D89A650"/>
    <w:rsid w:val="5DBA838D"/>
    <w:rsid w:val="5E64DC38"/>
    <w:rsid w:val="60A5EB8C"/>
    <w:rsid w:val="617ED5F2"/>
    <w:rsid w:val="61954704"/>
    <w:rsid w:val="64296648"/>
    <w:rsid w:val="64477553"/>
    <w:rsid w:val="645A3D15"/>
    <w:rsid w:val="646088EB"/>
    <w:rsid w:val="648313EC"/>
    <w:rsid w:val="659AACAF"/>
    <w:rsid w:val="6617BBF9"/>
    <w:rsid w:val="6658AC4C"/>
    <w:rsid w:val="67173AA3"/>
    <w:rsid w:val="697F2CC6"/>
    <w:rsid w:val="6AF6BA36"/>
    <w:rsid w:val="6B208BE0"/>
    <w:rsid w:val="6C99EAB8"/>
    <w:rsid w:val="6CABEDF5"/>
    <w:rsid w:val="6CE1EB67"/>
    <w:rsid w:val="6D9C7F0A"/>
    <w:rsid w:val="6D9D1059"/>
    <w:rsid w:val="6E0380A3"/>
    <w:rsid w:val="6F18F608"/>
    <w:rsid w:val="6FE2089E"/>
    <w:rsid w:val="7050CA72"/>
    <w:rsid w:val="71A05FCF"/>
    <w:rsid w:val="71CBD57B"/>
    <w:rsid w:val="71D26329"/>
    <w:rsid w:val="7248870E"/>
    <w:rsid w:val="72A3AE28"/>
    <w:rsid w:val="738EB4AC"/>
    <w:rsid w:val="73DA8269"/>
    <w:rsid w:val="74520BB7"/>
    <w:rsid w:val="749D0852"/>
    <w:rsid w:val="75408882"/>
    <w:rsid w:val="76006F9F"/>
    <w:rsid w:val="76384373"/>
    <w:rsid w:val="78902EA6"/>
    <w:rsid w:val="797ED01D"/>
    <w:rsid w:val="79819C3F"/>
    <w:rsid w:val="7ACE1A3D"/>
    <w:rsid w:val="7BC2E3F4"/>
    <w:rsid w:val="7C8AFC3E"/>
    <w:rsid w:val="7CE772AD"/>
    <w:rsid w:val="7DAED837"/>
    <w:rsid w:val="7E2B8ED2"/>
    <w:rsid w:val="7F347175"/>
    <w:rsid w:val="7F7DCC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D3299"/>
  <w15:chartTrackingRefBased/>
  <w15:docId w15:val="{7A9D7679-A6B5-4168-9136-11A105BE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F7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56F7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56F78"/>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56F78"/>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56F78"/>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956F7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6F7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6F7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6F7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F7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56F7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56F78"/>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56F78"/>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956F78"/>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956F7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56F7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56F7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56F7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56F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F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F7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F7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56F78"/>
    <w:pPr>
      <w:spacing w:before="160"/>
      <w:jc w:val="center"/>
    </w:pPr>
    <w:rPr>
      <w:i/>
      <w:iCs/>
      <w:color w:val="404040" w:themeColor="text1" w:themeTint="BF"/>
    </w:rPr>
  </w:style>
  <w:style w:type="character" w:customStyle="1" w:styleId="QuoteChar">
    <w:name w:val="Quote Char"/>
    <w:basedOn w:val="DefaultParagraphFont"/>
    <w:link w:val="Quote"/>
    <w:uiPriority w:val="29"/>
    <w:rsid w:val="00956F78"/>
    <w:rPr>
      <w:i/>
      <w:iCs/>
      <w:color w:val="404040" w:themeColor="text1" w:themeTint="BF"/>
    </w:rPr>
  </w:style>
  <w:style w:type="paragraph" w:styleId="ListParagraph">
    <w:name w:val="List Paragraph"/>
    <w:basedOn w:val="Normal"/>
    <w:uiPriority w:val="34"/>
    <w:qFormat/>
    <w:rsid w:val="00956F78"/>
    <w:pPr>
      <w:ind w:left="720"/>
      <w:contextualSpacing/>
    </w:pPr>
  </w:style>
  <w:style w:type="character" w:styleId="IntenseEmphasis">
    <w:name w:val="Intense Emphasis"/>
    <w:basedOn w:val="DefaultParagraphFont"/>
    <w:uiPriority w:val="21"/>
    <w:qFormat/>
    <w:rsid w:val="00956F78"/>
    <w:rPr>
      <w:i/>
      <w:iCs/>
      <w:color w:val="2E74B5" w:themeColor="accent1" w:themeShade="BF"/>
    </w:rPr>
  </w:style>
  <w:style w:type="paragraph" w:styleId="IntenseQuote">
    <w:name w:val="Intense Quote"/>
    <w:basedOn w:val="Normal"/>
    <w:next w:val="Normal"/>
    <w:link w:val="IntenseQuoteChar"/>
    <w:uiPriority w:val="30"/>
    <w:qFormat/>
    <w:rsid w:val="00956F7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56F78"/>
    <w:rPr>
      <w:i/>
      <w:iCs/>
      <w:color w:val="2E74B5" w:themeColor="accent1" w:themeShade="BF"/>
    </w:rPr>
  </w:style>
  <w:style w:type="character" w:styleId="IntenseReference">
    <w:name w:val="Intense Reference"/>
    <w:basedOn w:val="DefaultParagraphFont"/>
    <w:uiPriority w:val="32"/>
    <w:qFormat/>
    <w:rsid w:val="00956F78"/>
    <w:rPr>
      <w:b/>
      <w:bCs/>
      <w:smallCaps/>
      <w:color w:val="2E74B5" w:themeColor="accent1" w:themeShade="BF"/>
      <w:spacing w:val="5"/>
    </w:rPr>
  </w:style>
  <w:style w:type="table" w:styleId="TableGrid">
    <w:name w:val="Table Grid"/>
    <w:basedOn w:val="TableNormal"/>
    <w:uiPriority w:val="39"/>
    <w:rsid w:val="00956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57ac53-dcd0-453b-83ae-f42982eda089" xsi:nil="true"/>
    <lcf76f155ced4ddcb4097134ff3c332f xmlns="e6b55980-d316-4c4e-acfa-3ad86be4f59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E5DB7C1DD0EF45867E4B263F300F5E" ma:contentTypeVersion="17" ma:contentTypeDescription="Create a new document." ma:contentTypeScope="" ma:versionID="b467d0ef569e2335334919fcc6941536">
  <xsd:schema xmlns:xsd="http://www.w3.org/2001/XMLSchema" xmlns:xs="http://www.w3.org/2001/XMLSchema" xmlns:p="http://schemas.microsoft.com/office/2006/metadata/properties" xmlns:ns2="e6b55980-d316-4c4e-acfa-3ad86be4f59c" xmlns:ns3="b157ac53-dcd0-453b-83ae-f42982eda089" targetNamespace="http://schemas.microsoft.com/office/2006/metadata/properties" ma:root="true" ma:fieldsID="68c330cd3720ec22e49920de2a938643" ns2:_="" ns3:_="">
    <xsd:import namespace="e6b55980-d316-4c4e-acfa-3ad86be4f59c"/>
    <xsd:import namespace="b157ac53-dcd0-453b-83ae-f42982eda0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55980-d316-4c4e-acfa-3ad86be4f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7ac53-dcd0-453b-83ae-f42982eda0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7864643-bb63-4068-ae96-f0e34ffe8f58}" ma:internalName="TaxCatchAll" ma:showField="CatchAllData" ma:web="b157ac53-dcd0-453b-83ae-f42982eda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2BE8CB-4940-4A53-9F77-55D8C5CA118C}">
  <ds:schemaRefs>
    <ds:schemaRef ds:uri="http://schemas.microsoft.com/office/2006/metadata/properties"/>
    <ds:schemaRef ds:uri="http://schemas.microsoft.com/office/infopath/2007/PartnerControls"/>
    <ds:schemaRef ds:uri="b157ac53-dcd0-453b-83ae-f42982eda089"/>
    <ds:schemaRef ds:uri="e6b55980-d316-4c4e-acfa-3ad86be4f59c"/>
  </ds:schemaRefs>
</ds:datastoreItem>
</file>

<file path=customXml/itemProps2.xml><?xml version="1.0" encoding="utf-8"?>
<ds:datastoreItem xmlns:ds="http://schemas.openxmlformats.org/officeDocument/2006/customXml" ds:itemID="{CE811135-77CF-4152-8339-65BB393141EC}">
  <ds:schemaRefs>
    <ds:schemaRef ds:uri="http://schemas.microsoft.com/sharepoint/v3/contenttype/forms"/>
  </ds:schemaRefs>
</ds:datastoreItem>
</file>

<file path=customXml/itemProps3.xml><?xml version="1.0" encoding="utf-8"?>
<ds:datastoreItem xmlns:ds="http://schemas.openxmlformats.org/officeDocument/2006/customXml" ds:itemID="{4A900D0F-9729-481B-9FC3-33F5A911A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b55980-d316-4c4e-acfa-3ad86be4f59c"/>
    <ds:schemaRef ds:uri="b157ac53-dcd0-453b-83ae-f42982eda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2230</Characters>
  <Application>Microsoft Office Word</Application>
  <DocSecurity>0</DocSecurity>
  <Lines>18</Lines>
  <Paragraphs>5</Paragraphs>
  <ScaleCrop>false</ScaleCrop>
  <Company>Scottish Borders Council</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Wylie, Kirsty</dc:creator>
  <cp:keywords/>
  <dc:description/>
  <cp:lastModifiedBy>Mooney, Karen</cp:lastModifiedBy>
  <cp:revision>2</cp:revision>
  <dcterms:created xsi:type="dcterms:W3CDTF">2026-06-30T08:16:00Z</dcterms:created>
  <dcterms:modified xsi:type="dcterms:W3CDTF">2026-06-30T08:16:00Z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2024-06-12T21:41:38Z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6bb0996c-0f68-4909-9bff-12c9d85a853a</vt:lpwstr>
  </property>
  <property fmtid="{D5CDD505-2E9C-101B-9397-08002B2CF9AE}" pid="8" name="MSIP_Label_9fedad31-c0c2-44e8-b26c-75143ee7ed65_ContentBits">
    <vt:lpwstr>0</vt:lpwstr>
  </property>
  <property fmtid="{D5CDD505-2E9C-101B-9397-08002B2CF9AE}" pid="9" name="ContentTypeId">
    <vt:lpwstr>0x010100CEE5DB7C1DD0EF45867E4B263F300F5E</vt:lpwstr>
  </property>
  <property fmtid="{D5CDD505-2E9C-101B-9397-08002B2CF9AE}" pid="10" name="MediaServiceImageTags">
    <vt:lpwstr/>
  </property>
</Properties>
</file>